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center"/>
        <w:rPr>
          <w:rFonts w:ascii="Georgia" w:cs="Georgia" w:eastAsia="Georgia" w:hAnsi="Georgia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SHARON GOVERNANCE STUDY COMMITTEE MINUTES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center"/>
        <w:rPr>
          <w:rFonts w:ascii="Georgia" w:cs="Georgia" w:eastAsia="Georgia" w:hAnsi="Georgia"/>
          <w:i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i w:val="1"/>
          <w:sz w:val="22"/>
          <w:szCs w:val="22"/>
          <w:rtl w:val="0"/>
        </w:rPr>
        <w:t xml:space="preserve">August 17, 2022</w:t>
      </w:r>
    </w:p>
    <w:p w:rsidR="00000000" w:rsidDel="00000000" w:rsidP="00000000" w:rsidRDefault="00000000" w:rsidRPr="00000000" w14:paraId="00000003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The Sharon Governance Study Committee meeting was called to order at 7:33 pm by Chair Paul Pietal.</w:t>
      </w:r>
    </w:p>
    <w:p w:rsidR="00000000" w:rsidDel="00000000" w:rsidP="00000000" w:rsidRDefault="00000000" w:rsidRPr="00000000" w14:paraId="00000005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Member attendance</w:t>
      </w:r>
    </w:p>
    <w:p w:rsidR="00000000" w:rsidDel="00000000" w:rsidP="00000000" w:rsidRDefault="00000000" w:rsidRPr="00000000" w14:paraId="00000007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Arguimbau:  Present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Carver:  Present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Geller:  Present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Goodman: Present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Keenan: Present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King:  Present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Michalek: Present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Monahan:  Present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Pietal:  Present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Rangarajan:  Absent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Wluka: Present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Also present at the meeting were Brian Luther and Mark Fine from MAPC</w:t>
      </w:r>
    </w:p>
    <w:p w:rsidR="00000000" w:rsidDel="00000000" w:rsidP="00000000" w:rsidRDefault="00000000" w:rsidRPr="00000000" w14:paraId="00000016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Correspondence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Committee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received a handwritten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note from Bertha Foster which has been saved to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Committee’s shared 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Google drive. She suggested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open-ended</w:t>
      </w:r>
      <w:r w:rsidDel="00000000" w:rsidR="00000000" w:rsidRPr="00000000">
        <w:rPr>
          <w:rFonts w:ascii="Georgia" w:cs="Georgia" w:eastAsia="Georgia" w:hAnsi="Georgia"/>
          <w:color w:val="000000"/>
          <w:sz w:val="22"/>
          <w:szCs w:val="22"/>
          <w:rtl w:val="0"/>
        </w:rPr>
        <w:t xml:space="preserve"> questions on future surveys.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MAPC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Luther and Fine referred to comparable towns with Charters.  They are also looking into town manager/administrator position noting what is currently in by-laws and where Sharon could make changes. Wenham has made many changes over the last 5-10 years in this area. They will note how we can codify what the position does.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discussion of ZBA terms and number of committee members. General discussion of recall provisions.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Town-wide Survey Results and Discussion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presentation by Rob Carver with assistance from Matt Keenan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Town-wide Governance Study Draft Report August 17, 2022. 1231 respondents – 9.4% of registered voters. Survey responses skewed towards male (Sharon is generally 52/48 female to male with small number who classify as other. Select Board preference for 5 members 59% - 726 respondents. 43% (529 respondents) prefer Open Town Meeting. 57% (702 respondents) prefer noncitizen voting (this includes 99% of 64 noncitizens who took survey).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There are 13132 registered voters in Sharon as of May 2022.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 respondents: 42% have attended Town Meeting within the last 4 years; 38% have never attended. 20% attended before 2019 but not since. Noted that more people said they attended Town Meeting than there were actual people who attended.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On the question of why people don’t attend Town Meeting: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44% - scheduling conflicts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39% - town meeting too long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30% - concerned about Covid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28% - caregiving (general discussion of caregiving – if childcare is provided, can’t keep children out after 9pm.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Preferred day of town meeting: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29% - Sunday afternoon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17% - Saturday night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Hybrid meetings: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 xml:space="preserve">60% - prefer hybrid meetings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of hybrid meetings - Covid meeting rules are currently in place until March 2023. Hybrid (participants can be in person and online simultaneously) meetings would go against state law; Sharon could have staffing and technology issues providing hybrid meetings. Possible solution/recommendation is to start with Select Board, Finance Committee, and School Committee with hybrid meeting.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People learn about town government in many ways including friends/family, town warrant, social media, town website/emails, etc.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 of Government: These are considered weak statistical results and not statistically significant.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Town Council – preferred by: residents of town &lt;27 years; ages 48-59; have not attended Town Meeting within the last 4 years; reporting barriers to attendance; nonmembers of boards/committees.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Town Meeting – preferred by: people over age 60; residents of town &gt;27 years; current and former members of boards/committees.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Matt Keenan noted listserv emails sent were helpful, and there were 500 survey responses after postcard mailing.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anonymity IP addresses were not tracked and survey did not limit responses to 1 per IP address.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Discussion of number of members for Select Board and whether Sharon has enough qualified candidates. In the past 17 elections there have been 10 contested elections including 4 open seat elections that attracted 2, 2, 3, and 4 candidates.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Subcommittee Updates: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of tentative decisions to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Town Meeting Subcommittee – Matt Keenan discussed document – Summary of Town Meeting Subcommittee Proposals and Votes August 17, 2022.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Boards and Committees Subcommittee – has had many recent guests; voted to replace Personnel Board with a human resources professional; discussing/researching recall and removal related to nonattendance; has not voted on Select Board due to not having full subcommittee in attendance; is not interested in pursuing term limits; voted in favor of training for committee/board members; voted in favor of orientation for new committee/board members; voted in favor of no changes to the Finance Committee.</w:t>
      </w:r>
    </w:p>
    <w:p w:rsidR="00000000" w:rsidDel="00000000" w:rsidP="00000000" w:rsidRDefault="00000000" w:rsidRPr="00000000" w14:paraId="0000003F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u w:val="single"/>
          <w:rtl w:val="0"/>
        </w:rPr>
        <w:t xml:space="preserve">MOTION: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  <w:tab/>
        <w:t xml:space="preserve">To approve the minutes of the July 27, 2022 meeting, with minor corrections. </w:t>
      </w:r>
    </w:p>
    <w:p w:rsidR="00000000" w:rsidDel="00000000" w:rsidP="00000000" w:rsidRDefault="00000000" w:rsidRPr="00000000" w14:paraId="00000043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(Arguimbau - Geller)</w:t>
      </w:r>
    </w:p>
    <w:tbl>
      <w:tblPr>
        <w:tblStyle w:val="Table2"/>
        <w:tblW w:w="1079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97"/>
        <w:gridCol w:w="2697"/>
        <w:gridCol w:w="2698"/>
        <w:gridCol w:w="2698"/>
        <w:tblGridChange w:id="0">
          <w:tblGrid>
            <w:gridCol w:w="2697"/>
            <w:gridCol w:w="2697"/>
            <w:gridCol w:w="2698"/>
            <w:gridCol w:w="26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Arguimbau:  Aye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Carver:  Aye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Geller:  Aye</w:t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Goodman: Aye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Keenan: Aye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King:  Aye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Michalek: Aye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Monahan: Aye </w:t>
            </w:r>
          </w:p>
        </w:tc>
      </w:tr>
      <w:tr>
        <w:trPr>
          <w:cantSplit w:val="0"/>
          <w:trHeight w:val="180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Pietal:  Aye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Rangarajan:  Absent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Wluka: Aye</w:t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both"/>
              <w:rPr>
                <w:rFonts w:ascii="Georgia" w:cs="Georgia" w:eastAsia="Georgia" w:hAnsi="Georgi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10-0-0  </w:t>
      </w: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PASSES</w:t>
      </w:r>
    </w:p>
    <w:p w:rsidR="00000000" w:rsidDel="00000000" w:rsidP="00000000" w:rsidRDefault="00000000" w:rsidRPr="00000000" w14:paraId="00000051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Topics not anticipated within 48 hours of posting</w:t>
      </w:r>
    </w:p>
    <w:p w:rsidR="00000000" w:rsidDel="00000000" w:rsidP="00000000" w:rsidRDefault="00000000" w:rsidRPr="00000000" w14:paraId="00000053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Next meetings August 31, 2022 7:30pm and September 7, 2022 7:30pm</w:t>
      </w:r>
    </w:p>
    <w:p w:rsidR="00000000" w:rsidDel="00000000" w:rsidP="00000000" w:rsidRDefault="00000000" w:rsidRPr="00000000" w14:paraId="00000055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Adjourn</w:t>
      </w:r>
    </w:p>
    <w:p w:rsidR="00000000" w:rsidDel="00000000" w:rsidP="00000000" w:rsidRDefault="00000000" w:rsidRPr="00000000" w14:paraId="00000058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Seeing no other business to come before the committee, Mr. Pietal adjourned the meeting at 9:33 pm.</w:t>
      </w:r>
    </w:p>
    <w:p w:rsidR="00000000" w:rsidDel="00000000" w:rsidP="00000000" w:rsidRDefault="00000000" w:rsidRPr="00000000" w14:paraId="0000005A">
      <w:pPr>
        <w:jc w:val="both"/>
        <w:rPr>
          <w:rFonts w:ascii="Georgia" w:cs="Georgia" w:eastAsia="Georgia" w:hAnsi="Georgia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d9d9d9" w:val="clear"/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List of documents used at this meeting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Town-wide Governance Study Draft Report August 17, 2022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Summary of Town Meeting Subcommittee Proposals and Votes August 17, 2022</w:t>
      </w:r>
    </w:p>
    <w:p w:rsidR="00000000" w:rsidDel="00000000" w:rsidP="00000000" w:rsidRDefault="00000000" w:rsidRPr="00000000" w14:paraId="0000005E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Georgia" w:cs="Georgia" w:eastAsia="Georgia" w:hAnsi="Georgi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Book Antiqua" w:cs="Book Antiqua" w:eastAsia="Book Antiqua" w:hAnsi="Book Antiqua"/>
        <w:i w:val="1"/>
        <w:color w:val="000000"/>
        <w:sz w:val="16"/>
        <w:szCs w:val="16"/>
      </w:rPr>
    </w:pPr>
    <w:r w:rsidDel="00000000" w:rsidR="00000000" w:rsidRPr="00000000">
      <w:rPr>
        <w:rFonts w:ascii="Book Antiqua" w:cs="Book Antiqua" w:eastAsia="Book Antiqua" w:hAnsi="Book Antiqua"/>
        <w:i w:val="1"/>
        <w:color w:val="000000"/>
        <w:sz w:val="16"/>
        <w:szCs w:val="16"/>
        <w:rtl w:val="0"/>
      </w:rPr>
      <w:t xml:space="preserve">Sharon Governance Study Committee Minutes of </w:t>
    </w:r>
    <w:r w:rsidDel="00000000" w:rsidR="00000000" w:rsidRPr="00000000">
      <w:rPr>
        <w:rFonts w:ascii="Book Antiqua" w:cs="Book Antiqua" w:eastAsia="Book Antiqua" w:hAnsi="Book Antiqua"/>
        <w:i w:val="1"/>
        <w:sz w:val="16"/>
        <w:szCs w:val="16"/>
        <w:rtl w:val="0"/>
      </w:rPr>
      <w:t xml:space="preserve">August 17, 2022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rFonts w:ascii="Book Antiqua" w:cs="Book Antiqua" w:eastAsia="Book Antiqua" w:hAnsi="Book Antiqua"/>
        <w:color w:val="000000"/>
        <w:sz w:val="16"/>
        <w:szCs w:val="16"/>
      </w:rPr>
    </w:pPr>
    <w:r w:rsidDel="00000000" w:rsidR="00000000" w:rsidRPr="00000000">
      <w:rPr>
        <w:rFonts w:ascii="Book Antiqua" w:cs="Book Antiqua" w:eastAsia="Book Antiqua" w:hAnsi="Book Antiqua"/>
        <w:i w:val="1"/>
        <w:color w:val="000000"/>
        <w:sz w:val="16"/>
        <w:szCs w:val="16"/>
        <w:rtl w:val="0"/>
      </w:rPr>
      <w:t xml:space="preserve">Page </w:t>
    </w:r>
    <w:r w:rsidDel="00000000" w:rsidR="00000000" w:rsidRPr="00000000">
      <w:rPr>
        <w:rFonts w:ascii="Book Antiqua" w:cs="Book Antiqua" w:eastAsia="Book Antiqua" w:hAnsi="Book Antiqua"/>
        <w:i w:val="1"/>
        <w:color w:val="000000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Book Antiqua" w:cs="Book Antiqua" w:eastAsia="Book Antiqua" w:hAnsi="Book Antiqua"/>
        <w:i w:val="1"/>
        <w:color w:val="000000"/>
        <w:sz w:val="16"/>
        <w:szCs w:val="16"/>
        <w:rtl w:val="0"/>
      </w:rPr>
      <w:t xml:space="preserve"> of </w:t>
    </w:r>
    <w:r w:rsidDel="00000000" w:rsidR="00000000" w:rsidRPr="00000000">
      <w:rPr>
        <w:rFonts w:ascii="Book Antiqua" w:cs="Book Antiqua" w:eastAsia="Book Antiqua" w:hAnsi="Book Antiqua"/>
        <w:i w:val="1"/>
        <w:color w:val="000000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C773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4A49DD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A49DD"/>
    <w:rPr>
      <w:rFonts w:ascii="Times New Roman" w:cs="Times New Roman" w:eastAsia="Calibri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4A49DD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A49DD"/>
    <w:rPr>
      <w:rFonts w:ascii="Times New Roman" w:cs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99"/>
    <w:qFormat w:val="1"/>
    <w:rsid w:val="004A49DD"/>
    <w:pPr>
      <w:ind w:left="720"/>
      <w:contextualSpacing w:val="1"/>
    </w:pPr>
  </w:style>
  <w:style w:type="paragraph" w:styleId="NoSpacing">
    <w:name w:val="No Spacing"/>
    <w:uiPriority w:val="1"/>
    <w:qFormat w:val="1"/>
    <w:rsid w:val="003C0199"/>
    <w:rPr>
      <w:rFonts w:eastAsia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DD453A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DD453A"/>
    <w:rPr>
      <w:rFonts w:ascii="Tahoma" w:cs="Tahoma" w:eastAsia="Calibri" w:hAnsi="Tahoma"/>
      <w:sz w:val="16"/>
      <w:szCs w:val="16"/>
    </w:rPr>
  </w:style>
  <w:style w:type="paragraph" w:styleId="MediumGrid21" w:customStyle="1">
    <w:name w:val="Medium Grid 21"/>
    <w:uiPriority w:val="1"/>
    <w:qFormat w:val="1"/>
    <w:rsid w:val="007F5E9F"/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826B4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eGrid1" w:customStyle="1">
    <w:name w:val="Table Grid1"/>
    <w:basedOn w:val="TableNormal"/>
    <w:next w:val="TableGrid"/>
    <w:uiPriority w:val="59"/>
    <w:rsid w:val="00FB12AA"/>
    <w:rPr>
      <w:rFonts w:ascii="Book Antiqua" w:hAnsi="Book Antiqua"/>
      <w:sz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055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055938"/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055938"/>
    <w:rPr>
      <w:rFonts w:ascii="Times New Roman" w:cs="Times New Roman" w:eastAsia="Calibri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55938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55938"/>
    <w:rPr>
      <w:rFonts w:ascii="Times New Roman" w:cs="Times New Roman" w:eastAsia="Calibri" w:hAnsi="Times New Roman"/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423167"/>
    <w:rPr>
      <w:color w:val="0000ff" w:themeColor="hyperlink"/>
      <w:u w:val="single"/>
    </w:rPr>
  </w:style>
  <w:style w:type="table" w:styleId="TableGrid2" w:customStyle="1">
    <w:name w:val="Table Grid2"/>
    <w:basedOn w:val="TableNormal"/>
    <w:next w:val="TableGrid"/>
    <w:rsid w:val="00493FB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PlaceholderText">
    <w:name w:val="Placeholder Text"/>
    <w:basedOn w:val="DefaultParagraphFont"/>
    <w:uiPriority w:val="99"/>
    <w:semiHidden w:val="1"/>
    <w:rsid w:val="005D35AE"/>
    <w:rPr>
      <w:color w:val="808080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326C4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326C4E"/>
    <w:rPr>
      <w:rFonts w:ascii="Times New Roman" w:cs="Times New Roman" w:hAnsi="Times New Roman" w:eastAsiaTheme="minorEastAsia"/>
      <w:sz w:val="24"/>
      <w:szCs w:val="24"/>
    </w:rPr>
  </w:style>
  <w:style w:type="paragraph" w:styleId="Revision">
    <w:name w:val="Revision"/>
    <w:hidden w:val="1"/>
    <w:uiPriority w:val="99"/>
    <w:semiHidden w:val="1"/>
    <w:rsid w:val="005334E6"/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29552A"/>
    <w:pPr>
      <w:spacing w:after="100" w:afterAutospacing="1" w:before="100" w:beforeAutospacing="1"/>
    </w:pPr>
    <w:rPr>
      <w:rFonts w:eastAsiaTheme="minorHAnsi"/>
    </w:rPr>
  </w:style>
  <w:style w:type="paragraph" w:styleId="xxydpd147a0dp1" w:customStyle="1">
    <w:name w:val="x_x_ydpd147a0dp1"/>
    <w:basedOn w:val="Normal"/>
    <w:rsid w:val="000733FC"/>
    <w:pPr>
      <w:spacing w:after="100" w:afterAutospacing="1" w:before="100" w:beforeAutospacing="1"/>
    </w:pPr>
  </w:style>
  <w:style w:type="character" w:styleId="xxydpd147a0ds1" w:customStyle="1">
    <w:name w:val="x_x_ydpd147a0ds1"/>
    <w:basedOn w:val="DefaultParagraphFont"/>
    <w:rsid w:val="000733FC"/>
  </w:style>
  <w:style w:type="character" w:styleId="xxydpd147a0dapple-converted-space" w:customStyle="1">
    <w:name w:val="x_x_ydpd147a0dapple-converted-space"/>
    <w:basedOn w:val="DefaultParagraphFont"/>
    <w:rsid w:val="000733FC"/>
  </w:style>
  <w:style w:type="paragraph" w:styleId="TableParagraph" w:customStyle="1">
    <w:name w:val="Table Paragraph"/>
    <w:basedOn w:val="Normal"/>
    <w:uiPriority w:val="1"/>
    <w:qFormat w:val="1"/>
    <w:rsid w:val="003A0B6E"/>
    <w:pPr>
      <w:widowControl w:val="0"/>
      <w:autoSpaceDE w:val="0"/>
      <w:autoSpaceDN w:val="0"/>
      <w:spacing w:line="252" w:lineRule="exact"/>
    </w:pPr>
    <w:rPr>
      <w:sz w:val="22"/>
      <w:szCs w:val="2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a0" w:customStyle="1">
    <w:basedOn w:val="TableNormal"/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</w:tblPr>
  </w:style>
  <w:style w:type="table" w:styleId="a2" w:customStyle="1">
    <w:basedOn w:val="TableNormal"/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</w:tblPr>
  </w:style>
  <w:style w:type="table" w:styleId="a4" w:customStyle="1">
    <w:basedOn w:val="TableNormal"/>
    <w:tblPr>
      <w:tblStyleRowBandSize w:val="1"/>
      <w:tblStyleColBandSize w:val="1"/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Book Antiqua" w:cs="Book Antiqua" w:eastAsia="Book Antiqua" w:hAnsi="Book Antiqu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Z9aN9H7FWHfWLx8Ok76HtCUvdA==">AMUW2mW+laL245uBAIzA3J3wRL3XQkCy8v998unlRwGebsqxpkRvaFd40bmdq6Pw7ND28THJD6MBOcIOMXJ/574E/zIjQfuYgz2YB3DLYEWMkJQWYeGhoQfYKWIYxpkxkD0lT/GOx4f8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2022-08-31T02:06:00Z</dcterms:created>
  <dc:creator>Lauren Barnes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1395007298</vt:i4>
  </property>
</Properties>
</file>